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FA58F9" w:rsidRDefault="00FA58F9" w:rsidP="00481201">
      <w:pPr>
        <w:spacing w:line="240" w:lineRule="auto"/>
        <w:ind w:right="-2"/>
        <w:jc w:val="both"/>
        <w:rPr>
          <w:b/>
          <w:bCs/>
          <w:spacing w:val="24"/>
        </w:rPr>
      </w:pPr>
      <w:r>
        <w:rPr>
          <w:b/>
          <w:bCs/>
          <w:spacing w:val="24"/>
        </w:rPr>
        <w:t>14.02.2025                                                                              82-п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FA58F9" w:rsidRDefault="00481201" w:rsidP="002C27F1">
      <w:pPr>
        <w:spacing w:after="0" w:line="240" w:lineRule="auto"/>
        <w:ind w:left="5670"/>
        <w:rPr>
          <w:rFonts w:ascii="PT Astra Serif" w:hAnsi="PT Astra Serif" w:cs="Times New Roman"/>
          <w:sz w:val="24"/>
          <w:szCs w:val="24"/>
          <w:u w:val="single"/>
        </w:rPr>
      </w:pPr>
      <w:r w:rsidRPr="00FA58F9">
        <w:rPr>
          <w:rFonts w:ascii="PT Astra Serif" w:hAnsi="PT Astra Serif" w:cs="Times New Roman"/>
          <w:sz w:val="24"/>
          <w:szCs w:val="24"/>
          <w:u w:val="single"/>
        </w:rPr>
        <w:t xml:space="preserve">от </w:t>
      </w:r>
      <w:r w:rsidR="00FA58F9" w:rsidRPr="00FA58F9">
        <w:rPr>
          <w:rFonts w:ascii="PT Astra Serif" w:hAnsi="PT Astra Serif" w:cs="Times New Roman"/>
          <w:sz w:val="24"/>
          <w:szCs w:val="24"/>
          <w:u w:val="single"/>
        </w:rPr>
        <w:t xml:space="preserve"> 14.02.2025г. </w:t>
      </w:r>
      <w:r w:rsidRPr="00FA58F9">
        <w:rPr>
          <w:rFonts w:ascii="PT Astra Serif" w:hAnsi="PT Astra Serif" w:cs="Times New Roman"/>
          <w:sz w:val="24"/>
          <w:szCs w:val="24"/>
          <w:u w:val="single"/>
        </w:rPr>
        <w:t xml:space="preserve"> № </w:t>
      </w:r>
      <w:r w:rsidR="00FA58F9" w:rsidRPr="00FA58F9">
        <w:rPr>
          <w:rFonts w:ascii="PT Astra Serif" w:hAnsi="PT Astra Serif" w:cs="Times New Roman"/>
          <w:sz w:val="24"/>
          <w:szCs w:val="24"/>
          <w:u w:val="single"/>
        </w:rPr>
        <w:t xml:space="preserve"> 82-п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- 2025 год – </w:t>
            </w:r>
            <w:r w:rsidR="00FB3DB8">
              <w:rPr>
                <w:rFonts w:ascii="PT Astra Serif" w:hAnsi="PT Astra Serif" w:cs="Times New Roman"/>
                <w:sz w:val="28"/>
                <w:szCs w:val="28"/>
              </w:rPr>
              <w:t>82 491,7</w:t>
            </w:r>
            <w:r w:rsidRPr="00481201">
              <w:rPr>
                <w:rFonts w:ascii="PT Astra Serif" w:hAnsi="PT Astra Serif" w:cs="Times New Roman"/>
                <w:sz w:val="28"/>
                <w:szCs w:val="28"/>
              </w:rPr>
              <w:t xml:space="preserve">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B140EF">
              <w:rPr>
                <w:rFonts w:ascii="PT Astra Serif" w:hAnsi="PT Astra Serif" w:cs="Times New Roman"/>
                <w:sz w:val="28"/>
                <w:szCs w:val="28"/>
              </w:rPr>
              <w:t>2025 год – 13</w:t>
            </w:r>
            <w:r w:rsidR="00FB3DB8">
              <w:rPr>
                <w:rFonts w:ascii="PT Astra Serif" w:hAnsi="PT Astra Serif" w:cs="Times New Roman"/>
                <w:sz w:val="28"/>
                <w:szCs w:val="28"/>
              </w:rPr>
              <w:t> 984,3</w:t>
            </w:r>
            <w:r w:rsidR="00B140EF">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82</w:t>
      </w:r>
      <w:r w:rsidR="00FB3DB8">
        <w:rPr>
          <w:rFonts w:ascii="PT Astra Serif" w:hAnsi="PT Astra Serif"/>
          <w:sz w:val="28"/>
          <w:szCs w:val="28"/>
        </w:rPr>
        <w:t> 491,7</w:t>
      </w:r>
      <w:r>
        <w:rPr>
          <w:rFonts w:ascii="PT Astra Serif" w:hAnsi="PT Astra Serif"/>
          <w:sz w:val="28"/>
          <w:szCs w:val="28"/>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w:t>
      </w:r>
      <w:r w:rsidR="00FB3DB8">
        <w:rPr>
          <w:rFonts w:ascii="PT Astra Serif" w:hAnsi="PT Astra Serif" w:cs="Times New Roman"/>
          <w:sz w:val="28"/>
          <w:szCs w:val="28"/>
        </w:rPr>
        <w:t> 984,3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Pr="00FA58F9" w:rsidRDefault="001F5559" w:rsidP="002B4A4C">
      <w:pPr>
        <w:tabs>
          <w:tab w:val="left" w:pos="9356"/>
        </w:tabs>
        <w:spacing w:line="240" w:lineRule="auto"/>
        <w:ind w:left="5670" w:right="-1"/>
        <w:rPr>
          <w:rFonts w:ascii="PT Astra Serif" w:hAnsi="PT Astra Serif" w:cs="Times New Roman"/>
          <w:bCs/>
          <w:sz w:val="24"/>
          <w:szCs w:val="24"/>
          <w:u w:val="single"/>
        </w:rPr>
      </w:pPr>
      <w:r w:rsidRPr="00FA58F9">
        <w:rPr>
          <w:rFonts w:ascii="PT Astra Serif" w:hAnsi="PT Astra Serif" w:cs="Times New Roman"/>
          <w:bCs/>
          <w:sz w:val="24"/>
          <w:szCs w:val="24"/>
          <w:u w:val="single"/>
        </w:rPr>
        <w:t xml:space="preserve">от </w:t>
      </w:r>
      <w:r w:rsidR="00FA58F9" w:rsidRPr="00FA58F9">
        <w:rPr>
          <w:rFonts w:ascii="PT Astra Serif" w:hAnsi="PT Astra Serif" w:cs="Times New Roman"/>
          <w:bCs/>
          <w:sz w:val="24"/>
          <w:szCs w:val="24"/>
          <w:u w:val="single"/>
        </w:rPr>
        <w:t>14.02.2025</w:t>
      </w:r>
      <w:r w:rsidR="0037372D" w:rsidRPr="00FA58F9">
        <w:rPr>
          <w:rFonts w:ascii="PT Astra Serif" w:hAnsi="PT Astra Serif" w:cs="Times New Roman"/>
          <w:bCs/>
          <w:sz w:val="24"/>
          <w:szCs w:val="24"/>
          <w:u w:val="single"/>
        </w:rPr>
        <w:t xml:space="preserve"> </w:t>
      </w:r>
      <w:r w:rsidRPr="00FA58F9">
        <w:rPr>
          <w:rFonts w:ascii="PT Astra Serif" w:hAnsi="PT Astra Serif" w:cs="Times New Roman"/>
          <w:bCs/>
          <w:sz w:val="24"/>
          <w:szCs w:val="24"/>
          <w:u w:val="single"/>
        </w:rPr>
        <w:t>года</w:t>
      </w:r>
      <w:r w:rsidR="0037372D" w:rsidRPr="00FA58F9">
        <w:rPr>
          <w:rFonts w:ascii="PT Astra Serif" w:hAnsi="PT Astra Serif" w:cs="Times New Roman"/>
          <w:bCs/>
          <w:sz w:val="24"/>
          <w:szCs w:val="24"/>
          <w:u w:val="single"/>
        </w:rPr>
        <w:t xml:space="preserve">  № </w:t>
      </w:r>
      <w:r w:rsidR="00FA58F9" w:rsidRPr="00FA58F9">
        <w:rPr>
          <w:rFonts w:ascii="PT Astra Serif" w:hAnsi="PT Astra Serif" w:cs="Times New Roman"/>
          <w:bCs/>
          <w:sz w:val="24"/>
          <w:szCs w:val="24"/>
          <w:u w:val="single"/>
        </w:rPr>
        <w:t>82-п</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FB3DB8" w:rsidP="005572C8">
            <w:pPr>
              <w:jc w:val="center"/>
              <w:rPr>
                <w:rFonts w:ascii="PT Astra Serif" w:hAnsi="PT Astra Serif" w:cs="Times New Roman"/>
                <w:bCs/>
              </w:rPr>
            </w:pPr>
            <w:r>
              <w:rPr>
                <w:rFonts w:ascii="PT Astra Serif" w:hAnsi="PT Astra Serif" w:cs="Times New Roman"/>
                <w:bCs/>
              </w:rPr>
              <w:t>86,0</w:t>
            </w: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180FA3" w:rsidP="005415AE">
            <w:pPr>
              <w:jc w:val="center"/>
              <w:rPr>
                <w:rFonts w:ascii="PT Astra Serif" w:hAnsi="PT Astra Serif" w:cs="Times New Roman"/>
                <w:bCs/>
              </w:rPr>
            </w:pPr>
            <w:r>
              <w:rPr>
                <w:rFonts w:ascii="PT Astra Serif" w:hAnsi="PT Astra Serif" w:cs="Times New Roman"/>
                <w:bCs/>
              </w:rPr>
              <w:t>14</w:t>
            </w:r>
            <w:r w:rsidR="005415AE">
              <w:rPr>
                <w:rFonts w:ascii="PT Astra Serif" w:hAnsi="PT Astra Serif" w:cs="Times New Roman"/>
                <w:bCs/>
              </w:rPr>
              <w:t> 186,0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xml:space="preserve">, </w:t>
            </w:r>
            <w:r>
              <w:rPr>
                <w:rFonts w:ascii="PT Astra Serif" w:hAnsi="PT Astra Serif" w:cs="Times New Roman"/>
                <w:sz w:val="24"/>
                <w:szCs w:val="24"/>
              </w:rPr>
              <w:lastRenderedPageBreak/>
              <w:t>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Pr="007F2C5B"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r w:rsidR="007F2C5B" w:rsidRPr="007F2C5B">
              <w:rPr>
                <w:rFonts w:ascii="PT Astra Serif" w:hAnsi="PT Astra Serif" w:cs="Times New Roman"/>
                <w:sz w:val="24"/>
                <w:szCs w:val="24"/>
              </w:rPr>
              <w:t xml:space="preserve"> </w:t>
            </w:r>
            <w:r w:rsidR="007F2C5B" w:rsidRPr="00EE2129">
              <w:rPr>
                <w:rFonts w:ascii="PT Astra Serif" w:hAnsi="PT Astra Serif" w:cs="Times New Roman"/>
                <w:sz w:val="24"/>
                <w:szCs w:val="24"/>
              </w:rPr>
              <w:t>Работы по исследованию.</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262" w:rsidP="005572C8">
            <w:pPr>
              <w:jc w:val="center"/>
              <w:rPr>
                <w:rFonts w:ascii="PT Astra Serif" w:hAnsi="PT Astra Serif" w:cs="Times New Roman"/>
                <w:bCs/>
              </w:rPr>
            </w:pPr>
            <w:r w:rsidRPr="00EE2B2D">
              <w:rPr>
                <w:rFonts w:ascii="PT Astra Serif" w:hAnsi="PT Astra Serif" w:cs="Times New Roman"/>
                <w:bCs/>
                <w:lang w:val="en-US"/>
              </w:rPr>
              <w:t>600</w:t>
            </w:r>
            <w:r w:rsidRPr="00EE2B2D">
              <w:rPr>
                <w:rFonts w:ascii="PT Astra Serif" w:hAnsi="PT Astra Serif" w:cs="Times New Roman"/>
                <w:bCs/>
              </w:rPr>
              <w:t>,0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93326">
            <w:pPr>
              <w:rPr>
                <w:rFonts w:ascii="PT Astra Serif" w:hAnsi="PT Astra Serif" w:cs="Times New Roman"/>
                <w:sz w:val="24"/>
                <w:szCs w:val="24"/>
              </w:rPr>
            </w:pPr>
            <w:r w:rsidRPr="00E81366">
              <w:rPr>
                <w:rFonts w:ascii="PT Astra Serif" w:hAnsi="PT Astra Serif" w:cs="Times New Roman"/>
                <w:sz w:val="24"/>
                <w:szCs w:val="24"/>
              </w:rPr>
              <w:t xml:space="preserve">Изготовление </w:t>
            </w:r>
            <w:r w:rsidR="00493326">
              <w:rPr>
                <w:rFonts w:ascii="PT Astra Serif" w:hAnsi="PT Astra Serif" w:cs="Times New Roman"/>
                <w:sz w:val="24"/>
                <w:szCs w:val="24"/>
              </w:rPr>
              <w:t xml:space="preserve">проектной и </w:t>
            </w:r>
            <w:r w:rsidRPr="00E81366">
              <w:rPr>
                <w:rFonts w:ascii="PT Astra Serif" w:hAnsi="PT Astra Serif" w:cs="Times New Roman"/>
                <w:sz w:val="24"/>
                <w:szCs w:val="24"/>
              </w:rPr>
              <w:t>проектно-сметной документации</w:t>
            </w:r>
            <w:r w:rsidR="00493326">
              <w:rPr>
                <w:rFonts w:ascii="PT Astra Serif" w:hAnsi="PT Astra Serif" w:cs="Times New Roman"/>
                <w:sz w:val="24"/>
                <w:szCs w:val="24"/>
              </w:rPr>
              <w:t>,</w:t>
            </w:r>
            <w:r w:rsidRPr="00E81366">
              <w:rPr>
                <w:rFonts w:ascii="PT Astra Serif" w:hAnsi="PT Astra Serif" w:cs="Times New Roman"/>
                <w:sz w:val="24"/>
                <w:szCs w:val="24"/>
              </w:rPr>
              <w:t xml:space="preserve">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5AE" w:rsidP="005572C8">
            <w:pPr>
              <w:jc w:val="center"/>
              <w:rPr>
                <w:rFonts w:ascii="PT Astra Serif" w:hAnsi="PT Astra Serif" w:cs="Times New Roman"/>
                <w:bCs/>
              </w:rPr>
            </w:pPr>
            <w:r>
              <w:rPr>
                <w:rFonts w:ascii="PT Astra Serif" w:hAnsi="PT Astra Serif" w:cs="Times New Roman"/>
                <w:bCs/>
              </w:rPr>
              <w:t>366,0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3 343,8</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180FA3" w:rsidP="0060632D">
            <w:pPr>
              <w:jc w:val="center"/>
              <w:rPr>
                <w:rFonts w:ascii="PT Astra Serif" w:hAnsi="PT Astra Serif" w:cs="Times New Roman"/>
                <w:bCs/>
              </w:rPr>
            </w:pPr>
            <w:r>
              <w:rPr>
                <w:rFonts w:ascii="PT Astra Serif" w:hAnsi="PT Astra Serif" w:cs="Times New Roman"/>
                <w:bCs/>
              </w:rPr>
              <w:t>16 352,3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lastRenderedPageBreak/>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lastRenderedPageBreak/>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FB3DB8" w:rsidP="005572C8">
            <w:pPr>
              <w:jc w:val="center"/>
              <w:rPr>
                <w:rFonts w:ascii="PT Astra Serif" w:hAnsi="PT Astra Serif" w:cs="Times New Roman"/>
                <w:b/>
                <w:color w:val="000000" w:themeColor="text1"/>
              </w:rPr>
            </w:pPr>
            <w:r>
              <w:rPr>
                <w:rFonts w:ascii="PT Astra Serif" w:hAnsi="PT Astra Serif" w:cs="Times New Roman"/>
                <w:b/>
                <w:color w:val="000000" w:themeColor="text1"/>
              </w:rPr>
              <w:t>82 491,7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04D34"/>
    <w:rsid w:val="000C60F3"/>
    <w:rsid w:val="00180FA3"/>
    <w:rsid w:val="001A308B"/>
    <w:rsid w:val="001B05DB"/>
    <w:rsid w:val="001F5559"/>
    <w:rsid w:val="00234CF2"/>
    <w:rsid w:val="0024356A"/>
    <w:rsid w:val="00261504"/>
    <w:rsid w:val="002B4A4C"/>
    <w:rsid w:val="002C27F1"/>
    <w:rsid w:val="002C4D9B"/>
    <w:rsid w:val="002F5A43"/>
    <w:rsid w:val="0037372D"/>
    <w:rsid w:val="003A7043"/>
    <w:rsid w:val="003D6B58"/>
    <w:rsid w:val="003F1A20"/>
    <w:rsid w:val="003F1E74"/>
    <w:rsid w:val="00411BE3"/>
    <w:rsid w:val="00417B01"/>
    <w:rsid w:val="004626DD"/>
    <w:rsid w:val="0047101A"/>
    <w:rsid w:val="00481201"/>
    <w:rsid w:val="00493326"/>
    <w:rsid w:val="004B0AF6"/>
    <w:rsid w:val="004B484A"/>
    <w:rsid w:val="004E77F1"/>
    <w:rsid w:val="005071E3"/>
    <w:rsid w:val="00541262"/>
    <w:rsid w:val="005415AE"/>
    <w:rsid w:val="00553E9A"/>
    <w:rsid w:val="005572C8"/>
    <w:rsid w:val="00597DF9"/>
    <w:rsid w:val="005D7287"/>
    <w:rsid w:val="005F0BD0"/>
    <w:rsid w:val="0060632D"/>
    <w:rsid w:val="0060639B"/>
    <w:rsid w:val="00615205"/>
    <w:rsid w:val="006F5A48"/>
    <w:rsid w:val="00732794"/>
    <w:rsid w:val="00777357"/>
    <w:rsid w:val="00790203"/>
    <w:rsid w:val="007C7618"/>
    <w:rsid w:val="007F2C5B"/>
    <w:rsid w:val="0087352D"/>
    <w:rsid w:val="00886464"/>
    <w:rsid w:val="0089689E"/>
    <w:rsid w:val="008D7104"/>
    <w:rsid w:val="008F7533"/>
    <w:rsid w:val="00920553"/>
    <w:rsid w:val="00997408"/>
    <w:rsid w:val="009E5639"/>
    <w:rsid w:val="009F1F97"/>
    <w:rsid w:val="00AB5A33"/>
    <w:rsid w:val="00AC0B6C"/>
    <w:rsid w:val="00AF5A68"/>
    <w:rsid w:val="00B04102"/>
    <w:rsid w:val="00B140EF"/>
    <w:rsid w:val="00B42A65"/>
    <w:rsid w:val="00B823E6"/>
    <w:rsid w:val="00B87006"/>
    <w:rsid w:val="00C3348F"/>
    <w:rsid w:val="00C7097C"/>
    <w:rsid w:val="00C83633"/>
    <w:rsid w:val="00D57167"/>
    <w:rsid w:val="00D718A6"/>
    <w:rsid w:val="00D73E5D"/>
    <w:rsid w:val="00D9060C"/>
    <w:rsid w:val="00DF7732"/>
    <w:rsid w:val="00E049C3"/>
    <w:rsid w:val="00E738B4"/>
    <w:rsid w:val="00E760CC"/>
    <w:rsid w:val="00EE2129"/>
    <w:rsid w:val="00EE2B2D"/>
    <w:rsid w:val="00F6350A"/>
    <w:rsid w:val="00F8782B"/>
    <w:rsid w:val="00FA1CB6"/>
    <w:rsid w:val="00FA58F9"/>
    <w:rsid w:val="00FB3DB8"/>
    <w:rsid w:val="00FC53F5"/>
    <w:rsid w:val="00FF57B7"/>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CEC8-3AB0-4FF6-A377-39307E3B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2025-02-11T05:13:00Z</cp:lastPrinted>
  <dcterms:created xsi:type="dcterms:W3CDTF">2025-02-14T06:16:00Z</dcterms:created>
  <dcterms:modified xsi:type="dcterms:W3CDTF">2025-02-14T06:16:00Z</dcterms:modified>
</cp:coreProperties>
</file>