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231-п</w:t>
      </w: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2"/>
      </w:tblGrid>
      <w:tr w:rsidR="00D7197C">
        <w:trPr>
          <w:trHeight w:val="180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7197C" w:rsidRPr="00E10EF6" w:rsidRDefault="00D7197C" w:rsidP="00E10E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проектной документации на объект строительства «Строительство 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Арзянка)</w:t>
            </w:r>
          </w:p>
        </w:tc>
      </w:tr>
    </w:tbl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D66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81384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A26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06.10.2003 г № 13</w:t>
      </w:r>
      <w:r w:rsidRPr="00787A26">
        <w:rPr>
          <w:rFonts w:ascii="Times New Roman" w:hAnsi="Times New Roman" w:cs="Times New Roman"/>
          <w:sz w:val="28"/>
          <w:szCs w:val="28"/>
        </w:rPr>
        <w:t xml:space="preserve">1-ФЗ «Об общих принципах организации местного самоуправления в Российской Федерации», на основании положительного заключения государственной экспертизы, объект государственной экспертизы «Проверка достоверности определения сметной стоимости объекта капитального строительства по проектной документации», объект капитального строительства 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Арзянка), № 0255</w:t>
      </w:r>
      <w:r w:rsidRPr="00787A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С-13/РГЭ-0517/1-С/02 № 64-1-6-0036-13 от 13.05.</w:t>
      </w:r>
      <w:r w:rsidRPr="00787A26">
        <w:rPr>
          <w:rFonts w:ascii="Times New Roman" w:hAnsi="Times New Roman" w:cs="Times New Roman"/>
          <w:sz w:val="28"/>
          <w:szCs w:val="28"/>
        </w:rPr>
        <w:t>13г</w:t>
      </w:r>
      <w:r>
        <w:rPr>
          <w:rFonts w:ascii="Times New Roman" w:hAnsi="Times New Roman" w:cs="Times New Roman"/>
          <w:sz w:val="28"/>
          <w:szCs w:val="28"/>
        </w:rPr>
        <w:t>. исх. №03</w:t>
      </w:r>
      <w:r w:rsidRPr="00787A26">
        <w:rPr>
          <w:rFonts w:ascii="Times New Roman" w:hAnsi="Times New Roman" w:cs="Times New Roman"/>
          <w:sz w:val="28"/>
          <w:szCs w:val="28"/>
        </w:rPr>
        <w:t xml:space="preserve">6-С выданного Государственным автономным учреждением «Саратовский региональный центр экспертизы в строительстве» и положительного заключения Государственной экспертизы, объект государственной экспертизы «Проектная документация, включая смету и результаты инженерных изысканий», объект капитального строительства 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Арзянка), № 64-1-5-0</w:t>
      </w:r>
      <w:r w:rsidRPr="00787A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37-13 от 20.03.</w:t>
      </w:r>
      <w:r w:rsidRPr="00787A26">
        <w:rPr>
          <w:rFonts w:ascii="Times New Roman" w:hAnsi="Times New Roman" w:cs="Times New Roman"/>
          <w:sz w:val="28"/>
          <w:szCs w:val="28"/>
        </w:rPr>
        <w:t>13г</w:t>
      </w:r>
      <w:r>
        <w:rPr>
          <w:rFonts w:ascii="Times New Roman" w:hAnsi="Times New Roman" w:cs="Times New Roman"/>
          <w:sz w:val="28"/>
          <w:szCs w:val="28"/>
        </w:rPr>
        <w:t>. исх. № 037</w:t>
      </w:r>
      <w:r w:rsidRPr="00787A26">
        <w:rPr>
          <w:rFonts w:ascii="Times New Roman" w:hAnsi="Times New Roman" w:cs="Times New Roman"/>
          <w:sz w:val="28"/>
          <w:szCs w:val="28"/>
        </w:rPr>
        <w:t xml:space="preserve">, выданного Государственным автономным учреждением «Саратовский региональный центр экспертизы в строительстве», проектная документация выполнена проектной организацией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87A26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Сельинвестпроект-1</w:t>
      </w:r>
      <w:r w:rsidRPr="00787A26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 администрация Балашовского муниципального района</w:t>
      </w:r>
      <w:r w:rsidRPr="0078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7C" w:rsidRDefault="00D7197C" w:rsidP="008138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A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197C" w:rsidRDefault="00D7197C" w:rsidP="0081384B">
      <w:pPr>
        <w:pStyle w:val="ListParagraph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Утвердить состав проектно-сметной д</w:t>
      </w:r>
      <w:r>
        <w:rPr>
          <w:rFonts w:ascii="Times New Roman" w:hAnsi="Times New Roman" w:cs="Times New Roman"/>
          <w:sz w:val="28"/>
          <w:szCs w:val="28"/>
        </w:rPr>
        <w:t>окументации,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D7197C" w:rsidRDefault="00D7197C" w:rsidP="0081384B">
      <w:pPr>
        <w:pStyle w:val="ListParagraph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Утвердить сведения об общей с</w:t>
      </w:r>
      <w:r>
        <w:rPr>
          <w:rFonts w:ascii="Times New Roman" w:hAnsi="Times New Roman" w:cs="Times New Roman"/>
          <w:sz w:val="28"/>
          <w:szCs w:val="28"/>
        </w:rPr>
        <w:t xml:space="preserve">тоимости объекта строительства </w:t>
      </w:r>
      <w:r w:rsidRPr="00787A2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Арзянка)</w:t>
      </w:r>
      <w:r w:rsidRPr="00DA513C">
        <w:rPr>
          <w:rFonts w:ascii="Times New Roman" w:hAnsi="Times New Roman" w:cs="Times New Roman"/>
          <w:sz w:val="28"/>
          <w:szCs w:val="28"/>
        </w:rPr>
        <w:t>, в ценах предусмотренных действующей сметно-нормат</w:t>
      </w:r>
      <w:r>
        <w:rPr>
          <w:rFonts w:ascii="Times New Roman" w:hAnsi="Times New Roman" w:cs="Times New Roman"/>
          <w:sz w:val="28"/>
          <w:szCs w:val="28"/>
        </w:rPr>
        <w:t>ивной базой,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D7197C" w:rsidRDefault="00D7197C" w:rsidP="0081384B">
      <w:pPr>
        <w:pStyle w:val="ListParagraph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 xml:space="preserve">Утвердить технико - экономическую характеристику объекта строительства </w:t>
      </w:r>
      <w:r w:rsidRPr="00787A2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Арзянка),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97C" w:rsidRDefault="00D7197C" w:rsidP="0081384B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DA513C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7197C" w:rsidRDefault="00D7197C" w:rsidP="0081384B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администрацию Балашовского муниципального района (Васильева Л.А.) опубликовать постановление в средствах массовой информации</w:t>
      </w:r>
    </w:p>
    <w:p w:rsidR="00D7197C" w:rsidRDefault="00D7197C" w:rsidP="0081384B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7197C" w:rsidRDefault="00D7197C" w:rsidP="00FE73A1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FE73A1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FE73A1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FE73A1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FE73A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</w:t>
      </w: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D7197C" w:rsidRPr="003F5BB9" w:rsidRDefault="00D7197C" w:rsidP="00FE73A1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И.В.Талалайкин</w:t>
      </w:r>
    </w:p>
    <w:p w:rsidR="00D7197C" w:rsidRPr="00FE73A1" w:rsidRDefault="00D7197C" w:rsidP="00FE73A1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/>
    <w:p w:rsidR="00D7197C" w:rsidRDefault="00D7197C"/>
    <w:p w:rsidR="00D7197C" w:rsidRDefault="00D7197C"/>
    <w:p w:rsidR="00D7197C" w:rsidRDefault="00D7197C"/>
    <w:p w:rsidR="00D7197C" w:rsidRPr="00074D89" w:rsidRDefault="00D7197C" w:rsidP="0029006C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 xml:space="preserve">Приложение №1 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D7197C" w:rsidRPr="00074D89" w:rsidRDefault="00D7197C" w:rsidP="002900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От31.10.2016 г. № 231-п</w:t>
      </w:r>
    </w:p>
    <w:p w:rsidR="00D7197C" w:rsidRDefault="00D7197C" w:rsidP="0029006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50">
        <w:rPr>
          <w:rFonts w:ascii="Times New Roman" w:hAnsi="Times New Roman" w:cs="Times New Roman"/>
          <w:b/>
          <w:bCs/>
          <w:sz w:val="28"/>
          <w:szCs w:val="28"/>
        </w:rPr>
        <w:t>Состав проекта</w:t>
      </w: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автоподъезд к п. Арзянка</w:t>
      </w:r>
      <w:r w:rsidRPr="003E3950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 муниципального района</w:t>
      </w: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Pr="003E3950" w:rsidRDefault="00D7197C" w:rsidP="002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2578" w:tblpY="4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951"/>
        <w:gridCol w:w="2393"/>
      </w:tblGrid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тома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1. Пояснительная записка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2. Проект полосы отвода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Книга 1. Технологические и конструктивные решения линейного объекта. Искусственные сооружения.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Книга 2. Переустройство коммуникаций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5. Проект организации строительства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 xml:space="preserve">Раздел 7. </w:t>
            </w:r>
          </w:p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Книга 1. Мероприятия по охране окружающей среды (на период строительства)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Книга 2. Мероприятия по охране окружающей среды (в период эксплуатации)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8. Мероприятия по обеспечению пожарной безопасности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 w:rsidRPr="003E3950">
        <w:tc>
          <w:tcPr>
            <w:tcW w:w="110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Раздел 9. Смета на строительство</w:t>
            </w:r>
          </w:p>
        </w:tc>
        <w:tc>
          <w:tcPr>
            <w:tcW w:w="2393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Pr="00074D89" w:rsidRDefault="00D7197C" w:rsidP="002900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Pr="00074D89">
        <w:rPr>
          <w:rFonts w:ascii="Times New Roman" w:hAnsi="Times New Roman" w:cs="Times New Roman"/>
        </w:rPr>
        <w:t xml:space="preserve"> 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D7197C" w:rsidRPr="00074D89" w:rsidRDefault="00D7197C" w:rsidP="002900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От31.10.2016 г. № 231-п</w:t>
      </w:r>
    </w:p>
    <w:p w:rsidR="00D7197C" w:rsidRPr="0029006C" w:rsidRDefault="00D7197C" w:rsidP="0029006C">
      <w:pPr>
        <w:spacing w:line="276" w:lineRule="auto"/>
        <w:jc w:val="right"/>
        <w:rPr>
          <w:rFonts w:ascii="Times New Roman" w:hAnsi="Times New Roman" w:cs="Times New Roman"/>
        </w:rPr>
      </w:pPr>
    </w:p>
    <w:p w:rsidR="00D7197C" w:rsidRPr="00212B1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7197C" w:rsidRPr="00212B1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об общей стоимости объекта строительства</w:t>
      </w:r>
    </w:p>
    <w:p w:rsidR="00D7197C" w:rsidRPr="00212B1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«Строительство автомобильных дорог общего пользования местного значения на территории Балашовского муниципального района</w:t>
      </w:r>
    </w:p>
    <w:p w:rsidR="00D7197C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 xml:space="preserve">автоподъезд </w:t>
      </w:r>
      <w:r>
        <w:rPr>
          <w:rFonts w:ascii="Times New Roman" w:hAnsi="Times New Roman" w:cs="Times New Roman"/>
          <w:b/>
          <w:bCs/>
          <w:sz w:val="28"/>
          <w:szCs w:val="28"/>
        </w:rPr>
        <w:t>к с. Арзянка</w:t>
      </w: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7C" w:rsidRDefault="00D7197C" w:rsidP="0029006C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базисных ценах 2001 г. (без НДС)                        9 210,07 тыс. руб.</w:t>
      </w:r>
    </w:p>
    <w:p w:rsidR="00D7197C" w:rsidRDefault="00D7197C" w:rsidP="002900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СМР                                                      8 456,73 тыс. руб.</w:t>
      </w:r>
    </w:p>
    <w:p w:rsidR="00D7197C" w:rsidRDefault="00D7197C" w:rsidP="0029006C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Оборудование                                          -          тыс. руб.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Прочие                                                     753,34 тыс. руб. 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текущих ценах 1 квартала 2013 г.  (с НДС)      74 975,07 тыс. руб.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СМР                                                   </w:t>
      </w:r>
      <w:r w:rsidRPr="005F448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8D">
        <w:rPr>
          <w:rFonts w:ascii="Times New Roman" w:hAnsi="Times New Roman" w:cs="Times New Roman"/>
          <w:sz w:val="28"/>
          <w:szCs w:val="28"/>
        </w:rPr>
        <w:t>349,43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Оборудование                                         -         тыс. руб.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Прочие                                                3 625,64 тыс. руб.</w:t>
      </w:r>
    </w:p>
    <w:p w:rsidR="00D7197C" w:rsidRDefault="00D7197C" w:rsidP="0029006C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Default="00D7197C"/>
    <w:p w:rsidR="00D7197C" w:rsidRPr="00074D89" w:rsidRDefault="00D7197C" w:rsidP="002900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  <w:r w:rsidRPr="00074D89">
        <w:rPr>
          <w:rFonts w:ascii="Times New Roman" w:hAnsi="Times New Roman" w:cs="Times New Roman"/>
        </w:rPr>
        <w:t xml:space="preserve"> 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D7197C" w:rsidRDefault="00D7197C" w:rsidP="002900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D7197C" w:rsidRPr="00074D89" w:rsidRDefault="00D7197C" w:rsidP="002900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От31.10.2016 г. № 231-п</w:t>
      </w: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197C" w:rsidRDefault="00D7197C" w:rsidP="002900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197C" w:rsidRPr="004044E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4E0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Технико-экономическая характеристики объекта строительства</w:t>
      </w:r>
    </w:p>
    <w:p w:rsidR="00D7197C" w:rsidRPr="004044E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4E0">
        <w:rPr>
          <w:rFonts w:ascii="Times New Roman" w:hAnsi="Times New Roman" w:cs="Times New Roman"/>
          <w:b/>
          <w:bCs/>
          <w:sz w:val="28"/>
          <w:szCs w:val="28"/>
        </w:rPr>
        <w:t>«Строительство автомобильных дорог общего пользования местного значения на территории Балашовского муниципального района</w:t>
      </w:r>
    </w:p>
    <w:p w:rsidR="00D7197C" w:rsidRPr="004044E0" w:rsidRDefault="00D7197C" w:rsidP="002900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4E0">
        <w:rPr>
          <w:rFonts w:ascii="Times New Roman" w:hAnsi="Times New Roman" w:cs="Times New Roman"/>
          <w:b/>
          <w:bCs/>
          <w:sz w:val="28"/>
          <w:szCs w:val="28"/>
        </w:rPr>
        <w:t>автоподъезд к с. Арзянка»</w:t>
      </w:r>
    </w:p>
    <w:p w:rsidR="00D7197C" w:rsidRDefault="00D7197C" w:rsidP="0029006C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1702"/>
        <w:gridCol w:w="3084"/>
      </w:tblGrid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Категория дороги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Расчетная скорость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Количество полос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Строительная длина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5,245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Ширина земляного полотна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Ширина обочин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Тип дорожной одежды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Облегченная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Вид покрытия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Минимальный радиус в плане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Расчетная нагрузка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АК-100кН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Минимальный радиус кривой в продольном профиле: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выпуклой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5028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вогнутной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Максимальный продольный уклон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7197C">
        <w:tc>
          <w:tcPr>
            <w:tcW w:w="959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Продолжительность строительства</w:t>
            </w:r>
          </w:p>
        </w:tc>
        <w:tc>
          <w:tcPr>
            <w:tcW w:w="1702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3084" w:type="dxa"/>
          </w:tcPr>
          <w:p w:rsidR="00D7197C" w:rsidRPr="00E10EF6" w:rsidRDefault="00D7197C" w:rsidP="00E1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7197C" w:rsidRDefault="00D7197C"/>
    <w:sectPr w:rsidR="00D7197C" w:rsidSect="00D66485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7C" w:rsidRDefault="00D7197C" w:rsidP="00D66485">
      <w:r>
        <w:separator/>
      </w:r>
    </w:p>
  </w:endnote>
  <w:endnote w:type="continuationSeparator" w:id="0">
    <w:p w:rsidR="00D7197C" w:rsidRDefault="00D7197C" w:rsidP="00D6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7C" w:rsidRDefault="00D7197C" w:rsidP="00D66485">
      <w:r>
        <w:separator/>
      </w:r>
    </w:p>
  </w:footnote>
  <w:footnote w:type="continuationSeparator" w:id="0">
    <w:p w:rsidR="00D7197C" w:rsidRDefault="00D7197C" w:rsidP="00D6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7406"/>
    <w:multiLevelType w:val="hybridMultilevel"/>
    <w:tmpl w:val="E34EC9B2"/>
    <w:lvl w:ilvl="0" w:tplc="075EE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85"/>
    <w:rsid w:val="00074D89"/>
    <w:rsid w:val="00084771"/>
    <w:rsid w:val="001324B8"/>
    <w:rsid w:val="00140F74"/>
    <w:rsid w:val="001601F2"/>
    <w:rsid w:val="00212B10"/>
    <w:rsid w:val="00236C4C"/>
    <w:rsid w:val="0029006C"/>
    <w:rsid w:val="00304D5D"/>
    <w:rsid w:val="003E3950"/>
    <w:rsid w:val="003F5BB9"/>
    <w:rsid w:val="004044E0"/>
    <w:rsid w:val="004132F0"/>
    <w:rsid w:val="004C2250"/>
    <w:rsid w:val="005A10C5"/>
    <w:rsid w:val="005F3704"/>
    <w:rsid w:val="005F448D"/>
    <w:rsid w:val="00630C0A"/>
    <w:rsid w:val="00631836"/>
    <w:rsid w:val="006C468C"/>
    <w:rsid w:val="00787A26"/>
    <w:rsid w:val="0079440F"/>
    <w:rsid w:val="007A697B"/>
    <w:rsid w:val="00800906"/>
    <w:rsid w:val="0081384B"/>
    <w:rsid w:val="00835439"/>
    <w:rsid w:val="008D4A82"/>
    <w:rsid w:val="00D66485"/>
    <w:rsid w:val="00D7197C"/>
    <w:rsid w:val="00D931BB"/>
    <w:rsid w:val="00DA513C"/>
    <w:rsid w:val="00DE4568"/>
    <w:rsid w:val="00E10EF6"/>
    <w:rsid w:val="00E303E0"/>
    <w:rsid w:val="00FB1909"/>
    <w:rsid w:val="00F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8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uiPriority w:val="99"/>
    <w:rsid w:val="00D6648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0">
    <w:name w:val="Колонтитул"/>
    <w:basedOn w:val="a"/>
    <w:uiPriority w:val="99"/>
    <w:rsid w:val="00D66485"/>
    <w:rPr>
      <w:color w:val="000000"/>
      <w:spacing w:val="0"/>
      <w:w w:val="100"/>
      <w:position w:val="0"/>
      <w:lang w:val="ru-RU"/>
    </w:rPr>
  </w:style>
  <w:style w:type="paragraph" w:styleId="ListParagraph">
    <w:name w:val="List Paragraph"/>
    <w:basedOn w:val="Normal"/>
    <w:uiPriority w:val="99"/>
    <w:qFormat/>
    <w:rsid w:val="00D6648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66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4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664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4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931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901</Words>
  <Characters>5140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user</dc:creator>
  <cp:keywords/>
  <dc:description/>
  <cp:lastModifiedBy>Делопроизводство</cp:lastModifiedBy>
  <cp:revision>2</cp:revision>
  <cp:lastPrinted>2016-10-27T13:20:00Z</cp:lastPrinted>
  <dcterms:created xsi:type="dcterms:W3CDTF">2016-11-01T07:06:00Z</dcterms:created>
  <dcterms:modified xsi:type="dcterms:W3CDTF">2016-11-01T07:06:00Z</dcterms:modified>
</cp:coreProperties>
</file>