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5" w:rsidRPr="00ED18A2" w:rsidRDefault="00A26BAB" w:rsidP="00A26BA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 xml:space="preserve">Муниципальные услуги </w:t>
      </w:r>
    </w:p>
    <w:p w:rsidR="00133355" w:rsidRDefault="00133355" w:rsidP="00EA445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tbl>
      <w:tblPr>
        <w:tblW w:w="151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9"/>
        <w:gridCol w:w="1923"/>
        <w:gridCol w:w="2774"/>
        <w:gridCol w:w="2171"/>
        <w:gridCol w:w="1701"/>
        <w:gridCol w:w="2137"/>
      </w:tblGrid>
      <w:tr w:rsidR="00133355" w:rsidRPr="00ED18A2" w:rsidTr="00B74DF1">
        <w:trPr>
          <w:trHeight w:hRule="exact" w:val="1688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2"/>
                <w:lang w:eastAsia="ru-RU"/>
              </w:rPr>
            </w:pPr>
            <w:r w:rsidRPr="00ED18A2">
              <w:rPr>
                <w:rFonts w:eastAsia="Times New Roman" w:cs="Calibri"/>
                <w:b/>
                <w:bCs/>
                <w:sz w:val="22"/>
                <w:lang w:eastAsia="ru-RU"/>
              </w:rPr>
              <w:t>Административный регламент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2"/>
                <w:lang w:eastAsia="ru-RU"/>
              </w:rPr>
            </w:pPr>
            <w:r w:rsidRPr="00ED18A2">
              <w:rPr>
                <w:rFonts w:eastAsia="Times New Roman" w:cs="Calibri"/>
                <w:b/>
                <w:bCs/>
                <w:sz w:val="22"/>
                <w:lang w:eastAsia="ru-RU"/>
              </w:rPr>
              <w:t>Постановление</w:t>
            </w:r>
          </w:p>
        </w:tc>
        <w:tc>
          <w:tcPr>
            <w:tcW w:w="2774" w:type="dxa"/>
            <w:shd w:val="clear" w:color="auto" w:fill="auto"/>
            <w:noWrap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Tahoma"/>
                <w:b/>
                <w:sz w:val="22"/>
                <w:lang w:eastAsia="ru-RU"/>
              </w:rPr>
            </w:pPr>
            <w:r w:rsidRPr="00ED18A2">
              <w:rPr>
                <w:rFonts w:eastAsia="Times New Roman" w:cs="Tahoma"/>
                <w:b/>
                <w:sz w:val="22"/>
                <w:lang w:eastAsia="ru-RU"/>
              </w:rPr>
              <w:t>Наименование управления/ отдела</w:t>
            </w:r>
          </w:p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2"/>
                <w:lang w:eastAsia="ru-RU"/>
              </w:rPr>
            </w:pPr>
            <w:r w:rsidRPr="00ED18A2">
              <w:rPr>
                <w:rFonts w:eastAsia="Times New Roman" w:cs="Tahoma"/>
                <w:b/>
                <w:sz w:val="22"/>
                <w:lang w:eastAsia="ru-RU"/>
              </w:rPr>
              <w:t xml:space="preserve">администрации </w:t>
            </w:r>
            <w:proofErr w:type="gramStart"/>
            <w:r w:rsidRPr="00ED18A2">
              <w:rPr>
                <w:rFonts w:eastAsia="Times New Roman" w:cs="Tahoma"/>
                <w:b/>
                <w:sz w:val="22"/>
                <w:lang w:eastAsia="ru-RU"/>
              </w:rPr>
              <w:t>предоставляющего</w:t>
            </w:r>
            <w:proofErr w:type="gramEnd"/>
            <w:r w:rsidRPr="00ED18A2">
              <w:rPr>
                <w:rFonts w:eastAsia="Times New Roman" w:cs="Tahoma"/>
                <w:b/>
                <w:sz w:val="22"/>
                <w:lang w:eastAsia="ru-RU"/>
              </w:rPr>
              <w:t xml:space="preserve"> услугу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33355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b/>
                <w:sz w:val="22"/>
                <w:lang w:eastAsia="ru-RU"/>
              </w:rPr>
            </w:pPr>
            <w:r w:rsidRPr="00ED18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Срок предоставления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b/>
                <w:sz w:val="22"/>
                <w:lang w:eastAsia="ru-RU"/>
              </w:rPr>
            </w:pPr>
            <w:r w:rsidRPr="00ED18A2">
              <w:rPr>
                <w:rFonts w:eastAsia="Times New Roman" w:cs="Tahoma"/>
                <w:b/>
                <w:sz w:val="22"/>
                <w:lang w:eastAsia="ru-RU"/>
              </w:rPr>
              <w:t>Возможность подачи заявления через МФЦ</w:t>
            </w:r>
          </w:p>
        </w:tc>
        <w:tc>
          <w:tcPr>
            <w:tcW w:w="2137" w:type="dxa"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Tahoma"/>
                <w:b/>
                <w:sz w:val="22"/>
                <w:lang w:eastAsia="ru-RU"/>
              </w:rPr>
            </w:pPr>
            <w:r w:rsidRPr="00ED18A2">
              <w:rPr>
                <w:rFonts w:eastAsia="Times New Roman" w:cs="Tahoma"/>
                <w:b/>
                <w:sz w:val="22"/>
                <w:lang w:eastAsia="ru-RU"/>
              </w:rPr>
              <w:t>Возможность подачи заявления через Единый портал государственных услуг</w:t>
            </w:r>
          </w:p>
        </w:tc>
      </w:tr>
      <w:tr w:rsidR="00133355" w:rsidRPr="00ED18A2" w:rsidTr="00B74DF1">
        <w:trPr>
          <w:trHeight w:hRule="exact" w:val="113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 xml:space="preserve">Выдача выписки из Реестра муниципального нежилого фонда по </w:t>
            </w:r>
            <w:proofErr w:type="spellStart"/>
            <w:r w:rsidRPr="00ED18A2">
              <w:rPr>
                <w:rFonts w:eastAsia="Times New Roman" w:cs="Calibri"/>
                <w:sz w:val="22"/>
                <w:lang w:eastAsia="ru-RU"/>
              </w:rPr>
              <w:t>Балашовскому</w:t>
            </w:r>
            <w:proofErr w:type="spellEnd"/>
            <w:r w:rsidRPr="00ED18A2">
              <w:rPr>
                <w:rFonts w:eastAsia="Times New Roman" w:cs="Calibri"/>
                <w:sz w:val="22"/>
                <w:lang w:eastAsia="ru-RU"/>
              </w:rPr>
              <w:t xml:space="preserve"> муниципальному району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№47-п от 13 февраля 2023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33355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133355" w:rsidRPr="00ED18A2" w:rsidRDefault="00133355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133355" w:rsidRPr="00ED18A2" w:rsidTr="00A50F2D">
        <w:trPr>
          <w:trHeight w:hRule="exact" w:val="126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Заключение договоров аренды муниципального имущества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№81-п от 14 марта 2023</w:t>
            </w:r>
          </w:p>
        </w:tc>
        <w:tc>
          <w:tcPr>
            <w:tcW w:w="2774" w:type="dxa"/>
            <w:shd w:val="clear" w:color="auto" w:fill="auto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33355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 месяца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133355" w:rsidRPr="00ED18A2" w:rsidRDefault="00133355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ED18A2" w:rsidRPr="00ED18A2" w:rsidTr="00B74DF1">
        <w:trPr>
          <w:trHeight w:hRule="exact" w:val="120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№88-п от 15 марта 2023</w:t>
            </w:r>
          </w:p>
        </w:tc>
        <w:tc>
          <w:tcPr>
            <w:tcW w:w="2774" w:type="dxa"/>
            <w:shd w:val="clear" w:color="auto" w:fill="auto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10 рабочих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D18A2" w:rsidRPr="007542B8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ED18A2" w:rsidRPr="00ED18A2" w:rsidTr="00B74DF1">
        <w:trPr>
          <w:trHeight w:hRule="exact" w:val="779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Выдача разрешений на установку и эксплуатацию рекламной конструкции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44-п от 13 февраля 2023</w:t>
            </w:r>
          </w:p>
        </w:tc>
        <w:tc>
          <w:tcPr>
            <w:tcW w:w="2774" w:type="dxa"/>
            <w:shd w:val="clear" w:color="auto" w:fill="auto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2 месяца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D18A2" w:rsidRPr="007542B8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ED18A2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133355" w:rsidRPr="00ED18A2" w:rsidTr="00B74DF1">
        <w:trPr>
          <w:trHeight w:hRule="exact" w:val="1149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52-п от  20 февраля 2023</w:t>
            </w:r>
          </w:p>
        </w:tc>
        <w:tc>
          <w:tcPr>
            <w:tcW w:w="2774" w:type="dxa"/>
            <w:shd w:val="clear" w:color="auto" w:fill="auto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33355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2 месяца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3355" w:rsidRPr="007542B8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133355" w:rsidRPr="00ED18A2" w:rsidRDefault="00133355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133355" w:rsidRPr="00ED18A2" w:rsidTr="00B74DF1">
        <w:trPr>
          <w:trHeight w:hRule="exact" w:val="1057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46-п от  13 февраля 2023</w:t>
            </w:r>
          </w:p>
        </w:tc>
        <w:tc>
          <w:tcPr>
            <w:tcW w:w="2774" w:type="dxa"/>
            <w:shd w:val="clear" w:color="auto" w:fill="auto"/>
            <w:hideMark/>
          </w:tcPr>
          <w:p w:rsidR="00133355" w:rsidRPr="00ED18A2" w:rsidRDefault="00133355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33355" w:rsidRPr="00ED18A2" w:rsidRDefault="00ED18A2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25 рабочих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3355" w:rsidRPr="007542B8" w:rsidRDefault="0013335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133355" w:rsidRPr="00ED18A2" w:rsidRDefault="00133355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057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 xml:space="preserve">Принятие </w:t>
            </w:r>
            <w:proofErr w:type="gramStart"/>
            <w:r w:rsidRPr="00ED18A2">
              <w:rPr>
                <w:rFonts w:eastAsia="Times New Roman" w:cs="Calibri"/>
                <w:sz w:val="22"/>
                <w:lang w:eastAsia="ru-RU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ED18A2">
              <w:rPr>
                <w:rFonts w:eastAsia="Times New Roman" w:cs="Calibri"/>
                <w:sz w:val="22"/>
                <w:lang w:eastAsia="ru-RU"/>
              </w:rPr>
              <w:t xml:space="preserve"> социального найма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43-п от  13 февраля 2023</w:t>
            </w:r>
          </w:p>
        </w:tc>
        <w:tc>
          <w:tcPr>
            <w:tcW w:w="2774" w:type="dxa"/>
            <w:shd w:val="clear" w:color="auto" w:fill="auto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рабочих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423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3001A2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lastRenderedPageBreak/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3001A2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56-п от  21 февраля 2023</w:t>
            </w:r>
          </w:p>
        </w:tc>
        <w:tc>
          <w:tcPr>
            <w:tcW w:w="2774" w:type="dxa"/>
            <w:shd w:val="clear" w:color="auto" w:fill="auto"/>
            <w:hideMark/>
          </w:tcPr>
          <w:p w:rsidR="00B74DF1" w:rsidRPr="00ED18A2" w:rsidRDefault="00B74DF1" w:rsidP="003001A2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3001A2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15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A50F2D">
        <w:trPr>
          <w:trHeight w:hRule="exact" w:val="198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Признание молодых семей участниками подпрограммы «Обеспечение жилыми помещениями молодых семей» государственной программы Саратовской области «Обеспечение населения доступным жильем и развитие жилищно-коммунальной инфраструктуры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22-п от  31 января 2020</w:t>
            </w:r>
          </w:p>
        </w:tc>
        <w:tc>
          <w:tcPr>
            <w:tcW w:w="2774" w:type="dxa"/>
            <w:shd w:val="clear" w:color="auto" w:fill="auto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2558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Постановка на учет граждан, имеющих трех и более детей, семьи которых признаны многодетными, в целях бесплатного предоставления в собственность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86-п от  15 марта 2023</w:t>
            </w:r>
          </w:p>
        </w:tc>
        <w:tc>
          <w:tcPr>
            <w:tcW w:w="2774" w:type="dxa"/>
            <w:shd w:val="clear" w:color="auto" w:fill="auto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129"/>
          <w:jc w:val="center"/>
        </w:trPr>
        <w:tc>
          <w:tcPr>
            <w:tcW w:w="4399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63-п от 28 февраля 2023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20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7542B8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278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177-п от 16 мая 2023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 месяца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039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185-п от 19 мая 2023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02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Утверждение схемы расположения земельных участков на кадастровом плане территории, инвесторам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197-п от 12 сентября 2016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 месяца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0276AC" w:rsidRDefault="000276AC" w:rsidP="00B74DF1">
            <w:pPr>
              <w:spacing w:after="0" w:line="240" w:lineRule="auto"/>
              <w:jc w:val="center"/>
            </w:pPr>
          </w:p>
          <w:p w:rsidR="00B74DF1" w:rsidRPr="00ED18A2" w:rsidRDefault="000276AC" w:rsidP="00B74DF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B74DF1" w:rsidRPr="00ED18A2" w:rsidTr="00B00995">
        <w:trPr>
          <w:trHeight w:hRule="exact" w:val="171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lastRenderedPageBreak/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91-п от 16 марта 2023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B74DF1" w:rsidRPr="00ED18A2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14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B74DF1" w:rsidRPr="00ED18A2" w:rsidTr="00B74DF1">
        <w:trPr>
          <w:trHeight w:hRule="exact" w:val="1974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 xml:space="preserve">Заключение соглашений о перераспределении земель и (или) земельных участков, находящихся в государственной или муниципальной </w:t>
            </w:r>
            <w:r w:rsidR="007542B8" w:rsidRPr="00ED18A2">
              <w:rPr>
                <w:rFonts w:eastAsia="Times New Roman" w:cs="Calibri"/>
                <w:sz w:val="22"/>
                <w:lang w:eastAsia="ru-RU"/>
              </w:rPr>
              <w:t>собственности</w:t>
            </w:r>
            <w:r w:rsidRPr="00ED18A2">
              <w:rPr>
                <w:rFonts w:eastAsia="Times New Roman" w:cs="Calibri"/>
                <w:sz w:val="22"/>
                <w:lang w:eastAsia="ru-RU"/>
              </w:rPr>
              <w:t>, и земельных участков, находящихся в частной собственности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№430-п от 30 декабря 2021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20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845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Заключение соглашения об установлении сервитута в отношении  земельных участков, находящихся в муниципальной  собственности, земельных участков, государственная собственность на которые не разграничена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137-п от 12 мая 2020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561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№82-п от 14 марта 2023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425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№107-п от 27 марта 2023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14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558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D51DC8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Предоставление земельных участков, находящихся в муниципальной собственности, земельных участков, собственность на которые не разграничена, на торгах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D51DC8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 184-п от 11 апреля 2019</w:t>
            </w:r>
          </w:p>
        </w:tc>
        <w:tc>
          <w:tcPr>
            <w:tcW w:w="2774" w:type="dxa"/>
            <w:shd w:val="clear" w:color="auto" w:fill="auto"/>
            <w:noWrap/>
            <w:hideMark/>
          </w:tcPr>
          <w:p w:rsidR="00B74DF1" w:rsidRPr="00ED18A2" w:rsidRDefault="00B74DF1" w:rsidP="00D51DC8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00995" w:rsidP="00D51DC8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138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836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lastRenderedPageBreak/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№87-п от 15 марта 2023</w:t>
            </w:r>
          </w:p>
        </w:tc>
        <w:tc>
          <w:tcPr>
            <w:tcW w:w="2774" w:type="dxa"/>
            <w:shd w:val="clear" w:color="auto" w:fill="auto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sz w:val="22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30 календарных дней/ 25 календарных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</w:pPr>
            <w:r w:rsidRPr="00ED18A2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  <w:tr w:rsidR="00B74DF1" w:rsidRPr="00ED18A2" w:rsidTr="00B74DF1">
        <w:trPr>
          <w:trHeight w:hRule="exact" w:val="1836"/>
          <w:jc w:val="center"/>
        </w:trPr>
        <w:tc>
          <w:tcPr>
            <w:tcW w:w="4399" w:type="dxa"/>
            <w:shd w:val="clear" w:color="auto" w:fill="auto"/>
            <w:vAlign w:val="center"/>
            <w:hideMark/>
          </w:tcPr>
          <w:p w:rsidR="00B74DF1" w:rsidRPr="00F73FBA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73FBA">
              <w:rPr>
                <w:rFonts w:eastAsia="Times New Roman" w:cs="Calibri"/>
                <w:sz w:val="24"/>
                <w:szCs w:val="24"/>
                <w:lang w:eastAsia="ru-RU"/>
              </w:rPr>
              <w:t>Постановка на учет лиц, имеющих право на предоставление земельных участков в собственность бесплатно в соответствии со ст. 12.1 Закона Саратовской области от 30.09.2014 № 122-ЗСО «О земле»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74DF1" w:rsidRPr="00F73FBA" w:rsidRDefault="00B74DF1" w:rsidP="00195B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73FBA">
              <w:rPr>
                <w:rFonts w:eastAsia="Times New Roman" w:cs="Calibri"/>
                <w:sz w:val="24"/>
                <w:szCs w:val="24"/>
                <w:lang w:eastAsia="ru-RU"/>
              </w:rPr>
              <w:t>№ 90-п от  22 марта 2024 г.</w:t>
            </w:r>
          </w:p>
        </w:tc>
        <w:tc>
          <w:tcPr>
            <w:tcW w:w="2774" w:type="dxa"/>
            <w:shd w:val="clear" w:color="auto" w:fill="auto"/>
            <w:hideMark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Pr="00ED18A2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ED18A2">
              <w:rPr>
                <w:rFonts w:eastAsia="Times New Roman" w:cs="Calibri"/>
                <w:sz w:val="22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74DF1" w:rsidRPr="00ED18A2" w:rsidRDefault="00B00995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30 дней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4DF1" w:rsidRPr="007542B8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542B8"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  <w:tc>
          <w:tcPr>
            <w:tcW w:w="2137" w:type="dxa"/>
          </w:tcPr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</w:p>
          <w:p w:rsidR="00B74DF1" w:rsidRDefault="00B74DF1" w:rsidP="00B74DF1">
            <w:pPr>
              <w:spacing w:after="0" w:line="240" w:lineRule="auto"/>
              <w:jc w:val="center"/>
              <w:rPr>
                <w:rFonts w:eastAsia="Times New Roman" w:cs="Calibri"/>
                <w:sz w:val="22"/>
                <w:lang w:eastAsia="ru-RU"/>
              </w:rPr>
            </w:pPr>
            <w:r>
              <w:rPr>
                <w:rFonts w:eastAsia="Times New Roman" w:cs="Calibri"/>
                <w:sz w:val="22"/>
                <w:lang w:eastAsia="ru-RU"/>
              </w:rPr>
              <w:t>+</w:t>
            </w:r>
          </w:p>
        </w:tc>
      </w:tr>
    </w:tbl>
    <w:p w:rsidR="00133355" w:rsidRDefault="00133355" w:rsidP="00EA445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33355" w:rsidRDefault="00133355" w:rsidP="00EA445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33355" w:rsidRPr="00C320A1" w:rsidRDefault="00133355" w:rsidP="00A50F2D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Cs w:val="28"/>
          <w:lang w:eastAsia="ru-RU"/>
        </w:rPr>
      </w:pPr>
      <w:r w:rsidRPr="00C320A1">
        <w:rPr>
          <w:rFonts w:eastAsia="Times New Roman" w:cs="Tahoma"/>
          <w:b/>
          <w:szCs w:val="28"/>
          <w:lang w:eastAsia="ru-RU"/>
        </w:rPr>
        <w:t>Перечень муниципальных функций,</w:t>
      </w:r>
    </w:p>
    <w:p w:rsidR="00133355" w:rsidRPr="00C320A1" w:rsidRDefault="00133355" w:rsidP="00A50F2D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Cs w:val="28"/>
          <w:lang w:eastAsia="ru-RU"/>
        </w:rPr>
      </w:pPr>
      <w:proofErr w:type="gramStart"/>
      <w:r w:rsidRPr="00C320A1">
        <w:rPr>
          <w:rFonts w:eastAsia="Times New Roman" w:cs="Tahoma"/>
          <w:b/>
          <w:szCs w:val="28"/>
          <w:lang w:eastAsia="ru-RU"/>
        </w:rPr>
        <w:t>предоставляемых</w:t>
      </w:r>
      <w:proofErr w:type="gramEnd"/>
      <w:r w:rsidRPr="00C320A1">
        <w:rPr>
          <w:rFonts w:eastAsia="Times New Roman" w:cs="Tahoma"/>
          <w:b/>
          <w:szCs w:val="28"/>
          <w:lang w:eastAsia="ru-RU"/>
        </w:rPr>
        <w:t xml:space="preserve"> администрацией Балашовского муниципального района</w:t>
      </w:r>
    </w:p>
    <w:p w:rsidR="00133355" w:rsidRPr="00C320A1" w:rsidRDefault="00133355" w:rsidP="00A50F2D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Cs w:val="28"/>
          <w:lang w:eastAsia="ru-RU"/>
        </w:rPr>
      </w:pPr>
    </w:p>
    <w:tbl>
      <w:tblPr>
        <w:tblW w:w="14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"/>
        <w:gridCol w:w="4957"/>
        <w:gridCol w:w="2694"/>
        <w:gridCol w:w="6409"/>
      </w:tblGrid>
      <w:tr w:rsidR="00133355" w:rsidRPr="00C320A1" w:rsidTr="00C320A1">
        <w:trPr>
          <w:trHeight w:val="1305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C320A1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>№</w:t>
            </w:r>
          </w:p>
          <w:p w:rsidR="00133355" w:rsidRPr="00C320A1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C320A1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C320A1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>Наименование органа администрации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C320A1" w:rsidRDefault="00133355" w:rsidP="00C320A1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r w:rsidRPr="00C320A1">
              <w:rPr>
                <w:rFonts w:eastAsia="Times New Roman" w:cs="Tahoma"/>
                <w:b/>
                <w:sz w:val="24"/>
                <w:szCs w:val="24"/>
                <w:lang w:eastAsia="ru-RU"/>
              </w:rPr>
              <w:t xml:space="preserve">Постановление </w:t>
            </w:r>
          </w:p>
        </w:tc>
      </w:tr>
      <w:tr w:rsidR="00133355" w:rsidRPr="00C320A1" w:rsidTr="00C320A1">
        <w:trPr>
          <w:trHeight w:val="1022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862FCB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62FCB">
              <w:rPr>
                <w:rFonts w:eastAsia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862FCB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62FCB">
              <w:rPr>
                <w:rFonts w:eastAsia="Times New Roman" w:cs="Tahoma"/>
                <w:sz w:val="24"/>
                <w:szCs w:val="24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862FCB">
              <w:rPr>
                <w:rFonts w:eastAsia="Times New Roman" w:cs="Tahoma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2FCB">
              <w:rPr>
                <w:rFonts w:eastAsia="Times New Roman" w:cs="Tahoma"/>
                <w:sz w:val="24"/>
                <w:szCs w:val="24"/>
                <w:lang w:eastAsia="ru-RU"/>
              </w:rPr>
              <w:t xml:space="preserve"> использованием земель на территории Балашовского муниципального района</w:t>
            </w:r>
          </w:p>
          <w:p w:rsidR="00133355" w:rsidRPr="00862FCB" w:rsidRDefault="00133355" w:rsidP="00A50F2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862FCB" w:rsidRDefault="00A50F2D" w:rsidP="00A50F2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62FCB">
              <w:rPr>
                <w:rFonts w:eastAsia="Times New Roman" w:cs="Calibri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355" w:rsidRPr="00862FCB" w:rsidRDefault="00C320A1" w:rsidP="00C320A1">
            <w:pPr>
              <w:jc w:val="center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62FCB">
              <w:rPr>
                <w:rFonts w:eastAsia="Times New Roman" w:cs="Tahoma"/>
                <w:bCs/>
                <w:sz w:val="24"/>
                <w:szCs w:val="24"/>
                <w:lang w:eastAsia="ru-RU"/>
              </w:rPr>
              <w:t xml:space="preserve">Постановление администрации Балашовского муниципального района Саратовской области № 78-п от 15.03.2021 г. «Об утверждении административного регламента Комитета по управлению муниципальным имуществом администрации Балашовского муниципального района по исполнению муниципальной функции «Осуществление муниципального земельного </w:t>
            </w:r>
            <w:proofErr w:type="gramStart"/>
            <w:r w:rsidRPr="00862FCB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2FCB">
              <w:rPr>
                <w:rFonts w:eastAsia="Times New Roman" w:cs="Tahoma"/>
                <w:bCs/>
                <w:sz w:val="24"/>
                <w:szCs w:val="24"/>
                <w:lang w:eastAsia="ru-RU"/>
              </w:rPr>
              <w:t xml:space="preserve"> использованием земель на территории Балашовского муниципального района»</w:t>
            </w:r>
          </w:p>
        </w:tc>
      </w:tr>
    </w:tbl>
    <w:p w:rsidR="00133355" w:rsidRPr="00C320A1" w:rsidRDefault="00133355" w:rsidP="0013335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33355" w:rsidRPr="00C320A1" w:rsidRDefault="00133355" w:rsidP="0013335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33355" w:rsidRPr="00C320A1" w:rsidRDefault="00133355" w:rsidP="00EA445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sectPr w:rsidR="00133355" w:rsidRPr="00C320A1" w:rsidSect="00EA4456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01AD"/>
    <w:rsid w:val="000276AC"/>
    <w:rsid w:val="00097497"/>
    <w:rsid w:val="00133355"/>
    <w:rsid w:val="001A33D9"/>
    <w:rsid w:val="00245E17"/>
    <w:rsid w:val="002701AD"/>
    <w:rsid w:val="00320F95"/>
    <w:rsid w:val="00631DC2"/>
    <w:rsid w:val="007542B8"/>
    <w:rsid w:val="00780488"/>
    <w:rsid w:val="007A6DDB"/>
    <w:rsid w:val="00840997"/>
    <w:rsid w:val="00862FCB"/>
    <w:rsid w:val="008E292C"/>
    <w:rsid w:val="00A26BAB"/>
    <w:rsid w:val="00A50F2D"/>
    <w:rsid w:val="00AF4B00"/>
    <w:rsid w:val="00B00995"/>
    <w:rsid w:val="00B74DF1"/>
    <w:rsid w:val="00B85743"/>
    <w:rsid w:val="00C320A1"/>
    <w:rsid w:val="00CC7824"/>
    <w:rsid w:val="00EA4456"/>
    <w:rsid w:val="00EB740D"/>
    <w:rsid w:val="00ED18A2"/>
    <w:rsid w:val="00F7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1AD"/>
    <w:rPr>
      <w:color w:val="0000FF"/>
      <w:u w:val="single"/>
    </w:rPr>
  </w:style>
  <w:style w:type="character" w:styleId="a5">
    <w:name w:val="Strong"/>
    <w:basedOn w:val="a0"/>
    <w:uiPriority w:val="22"/>
    <w:qFormat/>
    <w:rsid w:val="002701AD"/>
    <w:rPr>
      <w:b/>
      <w:bCs/>
    </w:rPr>
  </w:style>
  <w:style w:type="table" w:styleId="a6">
    <w:name w:val="Table Grid"/>
    <w:basedOn w:val="a1"/>
    <w:uiPriority w:val="59"/>
    <w:rsid w:val="00270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2024-04-03T09:54:00Z</dcterms:created>
  <dcterms:modified xsi:type="dcterms:W3CDTF">2024-04-11T04:56:00Z</dcterms:modified>
</cp:coreProperties>
</file>