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3E" w:rsidRDefault="00F5023E" w:rsidP="00F5023E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3E" w:rsidRDefault="00F5023E" w:rsidP="00F5023E">
      <w:pPr>
        <w:pStyle w:val="a5"/>
        <w:outlineLvl w:val="0"/>
        <w:rPr>
          <w:b w:val="0"/>
          <w:szCs w:val="28"/>
        </w:rPr>
      </w:pPr>
      <w:r>
        <w:rPr>
          <w:szCs w:val="28"/>
        </w:rPr>
        <w:t>САРАТОВСКАЯ ОБЛАСТЬ</w:t>
      </w:r>
    </w:p>
    <w:p w:rsidR="00F5023E" w:rsidRDefault="00F5023E" w:rsidP="00F5023E">
      <w:pPr>
        <w:pStyle w:val="a5"/>
        <w:outlineLvl w:val="0"/>
        <w:rPr>
          <w:b w:val="0"/>
          <w:szCs w:val="28"/>
        </w:rPr>
      </w:pPr>
      <w:r>
        <w:rPr>
          <w:szCs w:val="28"/>
        </w:rPr>
        <w:t>КОНТРОЛЬНО-СЧЕТНАЯ КОМИССИЯ</w:t>
      </w:r>
    </w:p>
    <w:p w:rsidR="00F5023E" w:rsidRDefault="00F5023E" w:rsidP="00F5023E">
      <w:pPr>
        <w:pStyle w:val="a5"/>
        <w:outlineLvl w:val="0"/>
        <w:rPr>
          <w:b w:val="0"/>
          <w:szCs w:val="28"/>
        </w:rPr>
      </w:pPr>
      <w:r>
        <w:rPr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F5023E" w:rsidRPr="000E736F" w:rsidTr="00DC60B2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5023E" w:rsidRPr="000E736F" w:rsidRDefault="00F5023E" w:rsidP="00DC60B2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36F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F5023E" w:rsidRPr="000E736F" w:rsidRDefault="00F5023E" w:rsidP="00F5023E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0E736F"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72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размещения и 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представления для опубликования </w:t>
      </w:r>
      <w:proofErr w:type="gramStart"/>
      <w:r w:rsidRPr="000E73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736F">
        <w:rPr>
          <w:rFonts w:ascii="Times New Roman" w:hAnsi="Times New Roman" w:cs="Times New Roman"/>
          <w:b/>
          <w:sz w:val="24"/>
          <w:szCs w:val="24"/>
        </w:rPr>
        <w:t>средствах</w:t>
      </w:r>
      <w:proofErr w:type="gramEnd"/>
      <w:r w:rsidRPr="000E736F">
        <w:rPr>
          <w:rFonts w:ascii="Times New Roman" w:hAnsi="Times New Roman" w:cs="Times New Roman"/>
          <w:b/>
          <w:sz w:val="24"/>
          <w:szCs w:val="24"/>
        </w:rPr>
        <w:t xml:space="preserve"> массовой информации сведений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 об источниках получения средств, за счет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736F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0E736F">
        <w:rPr>
          <w:rFonts w:ascii="Times New Roman" w:hAnsi="Times New Roman" w:cs="Times New Roman"/>
          <w:b/>
          <w:sz w:val="24"/>
          <w:szCs w:val="24"/>
        </w:rPr>
        <w:t xml:space="preserve"> совершена сделка, сумма которой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 превышает общий доход подконтрольного лица, 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0E736F">
        <w:rPr>
          <w:rFonts w:ascii="Times New Roman" w:hAnsi="Times New Roman" w:cs="Times New Roman"/>
          <w:b/>
          <w:sz w:val="24"/>
          <w:szCs w:val="24"/>
        </w:rPr>
        <w:t xml:space="preserve">его супруги (супруга) за три последних года, </w:t>
      </w:r>
    </w:p>
    <w:p w:rsidR="00F5023E" w:rsidRPr="000E736F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736F">
        <w:rPr>
          <w:rFonts w:ascii="Times New Roman" w:hAnsi="Times New Roman" w:cs="Times New Roman"/>
          <w:b/>
          <w:sz w:val="24"/>
          <w:szCs w:val="24"/>
        </w:rPr>
        <w:t>предшествующих</w:t>
      </w:r>
      <w:proofErr w:type="gramEnd"/>
      <w:r w:rsidRPr="000E736F">
        <w:rPr>
          <w:rFonts w:ascii="Times New Roman" w:hAnsi="Times New Roman" w:cs="Times New Roman"/>
          <w:b/>
          <w:sz w:val="24"/>
          <w:szCs w:val="24"/>
        </w:rPr>
        <w:t xml:space="preserve"> совершению сделки</w:t>
      </w:r>
    </w:p>
    <w:p w:rsidR="00F5023E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</w:p>
    <w:p w:rsidR="00F5023E" w:rsidRPr="00F5023E" w:rsidRDefault="00F5023E" w:rsidP="00F5023E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F5023E" w:rsidRPr="000E736F" w:rsidRDefault="00F5023E" w:rsidP="00F50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36F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03.12.2012 № 230-ФЗ «О </w:t>
      </w:r>
      <w:proofErr w:type="gramStart"/>
      <w:r w:rsidRPr="000E736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E736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</w:t>
      </w:r>
      <w:r w:rsidR="000E736F" w:rsidRPr="000E736F">
        <w:rPr>
          <w:rFonts w:ascii="Times New Roman" w:hAnsi="Times New Roman" w:cs="Times New Roman"/>
          <w:sz w:val="28"/>
          <w:szCs w:val="28"/>
        </w:rPr>
        <w:t>ности, и иных лиц их доходам</w:t>
      </w:r>
      <w:r w:rsidRPr="000E736F">
        <w:rPr>
          <w:rFonts w:ascii="Times New Roman" w:hAnsi="Times New Roman" w:cs="Times New Roman"/>
          <w:sz w:val="28"/>
          <w:szCs w:val="28"/>
        </w:rPr>
        <w:t>»:</w:t>
      </w:r>
    </w:p>
    <w:p w:rsidR="00EC045A" w:rsidRPr="000E736F" w:rsidRDefault="00F5023E" w:rsidP="00EC045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36F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и представления для опубликования в средствах массовой информации представленных в соответствии с Федеральным законом от 03.12.2012 № 230-ФЗ «О </w:t>
      </w:r>
      <w:proofErr w:type="gramStart"/>
      <w:r w:rsidRPr="000E736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E736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0E736F">
        <w:rPr>
          <w:rFonts w:ascii="Times New Roman" w:hAnsi="Times New Roman" w:cs="Times New Roman"/>
          <w:sz w:val="28"/>
          <w:szCs w:val="28"/>
        </w:rPr>
        <w:t>олжности, и иных лиц их доходам</w:t>
      </w:r>
      <w:r w:rsidRPr="000E736F">
        <w:rPr>
          <w:rFonts w:ascii="Times New Roman" w:hAnsi="Times New Roman" w:cs="Times New Roman"/>
          <w:sz w:val="28"/>
          <w:szCs w:val="28"/>
        </w:rPr>
        <w:t>» сведений об источниках получения средств, за счет которых совершена сделка, сумма которой превышает общий доход подконтрольного лица, его супруги (супруга) за три последних года, предшествующи</w:t>
      </w:r>
      <w:r w:rsidR="00EC045A" w:rsidRPr="000E736F">
        <w:rPr>
          <w:rFonts w:ascii="Times New Roman" w:hAnsi="Times New Roman" w:cs="Times New Roman"/>
          <w:sz w:val="28"/>
          <w:szCs w:val="28"/>
        </w:rPr>
        <w:t>х совершению сделки (Приложение</w:t>
      </w:r>
      <w:r w:rsidRPr="000E73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045A" w:rsidRPr="000E736F" w:rsidRDefault="00EC045A" w:rsidP="00EC045A">
      <w:pPr>
        <w:autoSpaceDE w:val="0"/>
        <w:autoSpaceDN w:val="0"/>
        <w:adjustRightInd w:val="0"/>
        <w:ind w:left="4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E736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E736F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0E736F">
        <w:rPr>
          <w:rFonts w:ascii="Times New Roman" w:eastAsiaTheme="minorHAns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C045A" w:rsidRPr="00EC045A" w:rsidRDefault="00EC045A" w:rsidP="00EC04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C045A" w:rsidRPr="00766FF5" w:rsidRDefault="00766FF5" w:rsidP="00766F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C045A" w:rsidRPr="00766F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EC045A" w:rsidRPr="00EC045A" w:rsidRDefault="00EC045A" w:rsidP="00EC045A">
      <w:pPr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EC045A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EC045A" w:rsidRPr="00EC045A" w:rsidRDefault="00EC045A" w:rsidP="00EC045A">
      <w:pPr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045A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EC04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EC045A">
        <w:rPr>
          <w:rFonts w:ascii="Times New Roman" w:hAnsi="Times New Roman" w:cs="Times New Roman"/>
          <w:color w:val="000000"/>
          <w:sz w:val="28"/>
          <w:szCs w:val="28"/>
        </w:rPr>
        <w:t>Лутовинова</w:t>
      </w:r>
      <w:proofErr w:type="spellEnd"/>
    </w:p>
    <w:p w:rsidR="00EC045A" w:rsidRPr="00EC045A" w:rsidRDefault="00EC045A" w:rsidP="00EC045A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Calibri" w:hAnsi="Calibri" w:cs="Calibri"/>
        </w:rPr>
      </w:pPr>
    </w:p>
    <w:p w:rsidR="00EC045A" w:rsidRDefault="00EC045A" w:rsidP="00EC045A">
      <w:pPr>
        <w:pStyle w:val="a9"/>
        <w:spacing w:after="0"/>
        <w:ind w:left="840"/>
        <w:jc w:val="right"/>
      </w:pPr>
      <w:r>
        <w:lastRenderedPageBreak/>
        <w:t xml:space="preserve">                                                                               Приложение </w:t>
      </w:r>
      <w:proofErr w:type="gramStart"/>
      <w:r>
        <w:t>к</w:t>
      </w:r>
      <w:proofErr w:type="gramEnd"/>
      <w:r>
        <w:t xml:space="preserve"> </w:t>
      </w:r>
    </w:p>
    <w:p w:rsidR="00EC045A" w:rsidRDefault="00EC045A" w:rsidP="00EC045A">
      <w:pPr>
        <w:pStyle w:val="a9"/>
        <w:spacing w:after="0"/>
        <w:ind w:left="840"/>
        <w:jc w:val="right"/>
      </w:pPr>
      <w:r>
        <w:t xml:space="preserve">                                                                              распоряжению №72 от 29.12.2018г</w:t>
      </w:r>
    </w:p>
    <w:p w:rsidR="00EC045A" w:rsidRDefault="00EC045A"/>
    <w:p w:rsidR="00EC045A" w:rsidRDefault="00EC045A"/>
    <w:p w:rsidR="00EC045A" w:rsidRPr="00EC045A" w:rsidRDefault="00F5023E">
      <w:pPr>
        <w:rPr>
          <w:rFonts w:ascii="Times New Roman" w:hAnsi="Times New Roman" w:cs="Times New Roman"/>
          <w:sz w:val="28"/>
          <w:szCs w:val="28"/>
        </w:rPr>
      </w:pPr>
      <w:r w:rsidRPr="00EC045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C045A" w:rsidRDefault="00F5023E">
      <w:pPr>
        <w:rPr>
          <w:rFonts w:ascii="Times New Roman" w:hAnsi="Times New Roman" w:cs="Times New Roman"/>
          <w:sz w:val="28"/>
          <w:szCs w:val="28"/>
        </w:rPr>
      </w:pPr>
      <w:r w:rsidRPr="00EC045A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устанавливается в соответствии с Федеральным законом от 03.12.2012 № 230-ФЗ «О </w:t>
      </w:r>
      <w:proofErr w:type="gramStart"/>
      <w:r w:rsidRPr="00EC045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C045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</w:t>
      </w:r>
      <w:r w:rsidR="000E736F">
        <w:rPr>
          <w:rFonts w:ascii="Times New Roman" w:hAnsi="Times New Roman" w:cs="Times New Roman"/>
          <w:sz w:val="28"/>
          <w:szCs w:val="28"/>
        </w:rPr>
        <w:t>одам</w:t>
      </w:r>
      <w:r w:rsidR="00EC045A">
        <w:rPr>
          <w:rFonts w:ascii="Times New Roman" w:hAnsi="Times New Roman" w:cs="Times New Roman"/>
          <w:sz w:val="28"/>
          <w:szCs w:val="28"/>
        </w:rPr>
        <w:t>».</w:t>
      </w:r>
      <w:r w:rsidRPr="00EC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5A" w:rsidRDefault="00F5023E">
      <w:pPr>
        <w:rPr>
          <w:rFonts w:ascii="Times New Roman" w:hAnsi="Times New Roman" w:cs="Times New Roman"/>
          <w:sz w:val="28"/>
          <w:szCs w:val="28"/>
        </w:rPr>
      </w:pPr>
      <w:r w:rsidRPr="00EC04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045A">
        <w:rPr>
          <w:rFonts w:ascii="Times New Roman" w:hAnsi="Times New Roman" w:cs="Times New Roman"/>
          <w:sz w:val="28"/>
          <w:szCs w:val="28"/>
        </w:rPr>
        <w:t>Порядок размещения и представления для опубликования в средствах массовой информации представленных в соответствии с Федеральным законом от 03.12.2012 № 230-ФЗ «О контроле за соответствием расходов лиц, замещающих государственные д</w:t>
      </w:r>
      <w:r w:rsidR="000E736F">
        <w:rPr>
          <w:rFonts w:ascii="Times New Roman" w:hAnsi="Times New Roman" w:cs="Times New Roman"/>
          <w:sz w:val="28"/>
          <w:szCs w:val="28"/>
        </w:rPr>
        <w:t>олжности, и иных лиц их доходам</w:t>
      </w:r>
      <w:r w:rsidRPr="00EC045A">
        <w:rPr>
          <w:rFonts w:ascii="Times New Roman" w:hAnsi="Times New Roman" w:cs="Times New Roman"/>
          <w:sz w:val="28"/>
          <w:szCs w:val="28"/>
        </w:rPr>
        <w:t xml:space="preserve">» сведений об источниках получения средств, за счет которых совершена сделка, сумма которой превышает общий доход подконтрольного лица, его супруги (супруга) за три последних года, предшествующих совершению сделки </w:t>
      </w:r>
      <w:proofErr w:type="gramEnd"/>
    </w:p>
    <w:p w:rsidR="007935F7" w:rsidRDefault="00F50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45A">
        <w:rPr>
          <w:rFonts w:ascii="Times New Roman" w:hAnsi="Times New Roman" w:cs="Times New Roman"/>
          <w:sz w:val="28"/>
          <w:szCs w:val="28"/>
        </w:rPr>
        <w:t>2.1.Лицо, замещающее (занимающее) муниципальную должность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EC045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EC045A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7935F7" w:rsidRDefault="00F5023E">
      <w:pPr>
        <w:rPr>
          <w:rFonts w:ascii="Times New Roman" w:hAnsi="Times New Roman" w:cs="Times New Roman"/>
          <w:sz w:val="28"/>
          <w:szCs w:val="28"/>
        </w:rPr>
      </w:pPr>
      <w:r w:rsidRPr="00EC045A">
        <w:rPr>
          <w:rFonts w:ascii="Times New Roman" w:hAnsi="Times New Roman" w:cs="Times New Roman"/>
          <w:sz w:val="28"/>
          <w:szCs w:val="28"/>
        </w:rPr>
        <w:t xml:space="preserve"> 2.2. </w:t>
      </w:r>
      <w:proofErr w:type="gramStart"/>
      <w:r w:rsidRPr="00EC045A">
        <w:rPr>
          <w:rFonts w:ascii="Times New Roman" w:hAnsi="Times New Roman" w:cs="Times New Roman"/>
          <w:sz w:val="28"/>
          <w:szCs w:val="28"/>
        </w:rPr>
        <w:t xml:space="preserve">Сведения, указанные в п.2. 1. настоящего порядка,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</w:t>
      </w:r>
      <w:r w:rsidRPr="00EC045A">
        <w:rPr>
          <w:rFonts w:ascii="Times New Roman" w:hAnsi="Times New Roman" w:cs="Times New Roman"/>
          <w:sz w:val="28"/>
          <w:szCs w:val="28"/>
        </w:rPr>
        <w:lastRenderedPageBreak/>
        <w:t>социального страхования Российской Федерации, Федерального фонда обязательного медицинского страхования и локальными</w:t>
      </w:r>
      <w:proofErr w:type="gramEnd"/>
      <w:r w:rsidRPr="00EC045A">
        <w:rPr>
          <w:rFonts w:ascii="Times New Roman" w:hAnsi="Times New Roman" w:cs="Times New Roman"/>
          <w:sz w:val="28"/>
          <w:szCs w:val="28"/>
        </w:rPr>
        <w:t xml:space="preserve">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настоящим Федеральным законом. </w:t>
      </w:r>
    </w:p>
    <w:p w:rsidR="00A56713" w:rsidRPr="00EC045A" w:rsidRDefault="00F5023E">
      <w:pPr>
        <w:rPr>
          <w:rFonts w:ascii="Times New Roman" w:hAnsi="Times New Roman" w:cs="Times New Roman"/>
          <w:sz w:val="28"/>
          <w:szCs w:val="28"/>
        </w:rPr>
      </w:pPr>
      <w:r w:rsidRPr="00EC045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EC045A">
        <w:rPr>
          <w:rFonts w:ascii="Times New Roman" w:hAnsi="Times New Roman" w:cs="Times New Roman"/>
          <w:sz w:val="28"/>
          <w:szCs w:val="28"/>
        </w:rPr>
        <w:t>Основанием для принятия решения об осуществлении контроля 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Pr="00EC045A">
        <w:rPr>
          <w:rFonts w:ascii="Times New Roman" w:hAnsi="Times New Roman" w:cs="Times New Roman"/>
          <w:sz w:val="28"/>
          <w:szCs w:val="28"/>
        </w:rPr>
        <w:t xml:space="preserve">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</w:t>
      </w:r>
    </w:p>
    <w:sectPr w:rsidR="00A56713" w:rsidRPr="00EC045A" w:rsidSect="009F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B16"/>
    <w:multiLevelType w:val="hybridMultilevel"/>
    <w:tmpl w:val="762ABC58"/>
    <w:lvl w:ilvl="0" w:tplc="3B906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23E"/>
    <w:rsid w:val="00047CAD"/>
    <w:rsid w:val="000E736F"/>
    <w:rsid w:val="00766FF5"/>
    <w:rsid w:val="007935F7"/>
    <w:rsid w:val="009F4A66"/>
    <w:rsid w:val="00A56713"/>
    <w:rsid w:val="00EC045A"/>
    <w:rsid w:val="00F5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3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502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F50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F5023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2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0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8590-3AE2-4182-AB6E-35A54BC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2019-07-05T06:40:00Z</cp:lastPrinted>
  <dcterms:created xsi:type="dcterms:W3CDTF">2019-07-05T05:05:00Z</dcterms:created>
  <dcterms:modified xsi:type="dcterms:W3CDTF">2019-07-05T07:03:00Z</dcterms:modified>
</cp:coreProperties>
</file>